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8"/>
          <w:szCs w:val="28"/>
        </w:rPr>
      </w:pPr>
      <w:bookmarkStart w:id="0" w:name="_GoBack"/>
      <w:bookmarkEnd w:id="0"/>
      <w:r>
        <w:rPr>
          <w:rFonts w:ascii="TimesNewRomanPS-BoldMT" w:hAnsi="TimesNewRomanPS-BoldMT" w:cs="TimesNewRomanPS-BoldMT"/>
          <w:b/>
          <w:bCs/>
          <w:sz w:val="28"/>
          <w:szCs w:val="28"/>
        </w:rPr>
        <w:t>INDICE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1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Riferimenti Normativi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2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Principi e finalità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3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Campi di applicazione e destinatari del servizio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>4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Tipologia di rifiuti conferibili</w:t>
      </w:r>
      <w:r w:rsidR="006C21A7" w:rsidRPr="006C21A7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>e modalità di conferimento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>5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Attivazione delle premialità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>6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Bonus incentivante per il conferimento diretto carta e cartone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>7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Bonus incentivante per il conferimento diretto di multimateriale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>8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Bonus incentivante per il conferimento diretto di vetro pulito</w:t>
      </w:r>
    </w:p>
    <w:p w:rsidR="006C21A7" w:rsidRDefault="006C21A7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9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ab/>
        <w:t>Bonus incentivante per conferimento diretto di olio esausto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ind w:left="1418" w:hanging="1418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>Art. 1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>0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Bonus jolly incentivante per il conferimento diretto di rifiuti ingombranti, beni durevoli e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RAEE </w:t>
      </w:r>
    </w:p>
    <w:p w:rsidR="00D65806" w:rsidRDefault="00D65806"/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Art.1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Riferimenti Normativi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Il presente </w:t>
      </w:r>
      <w:r w:rsidR="008931D9">
        <w:rPr>
          <w:rFonts w:ascii="TimesNewRomanPSMT" w:hAnsi="TimesNewRomanPSMT" w:cs="TimesNewRomanPSMT"/>
          <w:sz w:val="23"/>
          <w:szCs w:val="23"/>
        </w:rPr>
        <w:t>Regolamento</w:t>
      </w:r>
      <w:r>
        <w:rPr>
          <w:rFonts w:ascii="TimesNewRomanPSMT" w:hAnsi="TimesNewRomanPSMT" w:cs="TimesNewRomanPSMT"/>
          <w:sz w:val="23"/>
          <w:szCs w:val="23"/>
        </w:rPr>
        <w:t xml:space="preserve"> </w:t>
      </w:r>
      <w:r w:rsidR="008931D9">
        <w:rPr>
          <w:rFonts w:ascii="TimesNewRomanPSMT" w:hAnsi="TimesNewRomanPSMT" w:cs="TimesNewRomanPSMT"/>
          <w:sz w:val="23"/>
          <w:szCs w:val="23"/>
        </w:rPr>
        <w:t>fissa</w:t>
      </w:r>
      <w:r>
        <w:rPr>
          <w:rFonts w:ascii="TimesNewRomanPSMT" w:hAnsi="TimesNewRomanPSMT" w:cs="TimesNewRomanPSMT"/>
          <w:sz w:val="23"/>
          <w:szCs w:val="23"/>
        </w:rPr>
        <w:t xml:space="preserve"> le modalità di determinazione degli incentivi da attribuire al cittadino virtuoso che conferisce i propri rifiuti presso le Isole Ecologiche presenti sul territorio comunale.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I rifiuti che possono essere conferiti dai cittadini presso le IE sono tutti quelli</w:t>
      </w:r>
      <w:r w:rsidR="006C21A7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regolamentati dalla seguente normativa nazionale: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- D.Lgs. n.152 del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del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 03.04.2006 (norme in materia ambientale) e s.m.i.;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D.Lgs. n.151 del 25.07.2005 regolamento sul recupero dei rifiuti RAEE.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ItalicMT" w:hAnsi="TimesNewRomanPS-ItalicMT" w:cs="TimesNewRomanPS-ItalicMT"/>
          <w:i/>
          <w:iCs/>
          <w:sz w:val="23"/>
          <w:szCs w:val="23"/>
        </w:rPr>
      </w:pPr>
      <w:r>
        <w:rPr>
          <w:rFonts w:ascii="TimesNewRomanPSMT" w:hAnsi="TimesNewRomanPSMT" w:cs="TimesNewRomanPSMT"/>
          <w:sz w:val="24"/>
          <w:szCs w:val="24"/>
        </w:rPr>
        <w:t xml:space="preserve">- </w:t>
      </w:r>
      <w:r>
        <w:rPr>
          <w:rFonts w:ascii="TimesNewRomanPSMT" w:hAnsi="TimesNewRomanPSMT" w:cs="TimesNewRomanPSMT"/>
          <w:sz w:val="23"/>
          <w:szCs w:val="23"/>
        </w:rPr>
        <w:t>Decreto del Ministero dell’Ambiente e Tutela del Territorio e del mare del 08.04.2008, avente</w:t>
      </w:r>
      <w:r w:rsidR="006C21A7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per oggetto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“disciplina dei centri di raccolta dei rifiuti urbani raccolti in modo differenziato,</w:t>
      </w:r>
      <w:r w:rsidR="006C21A7">
        <w:rPr>
          <w:rFonts w:ascii="TimesNewRomanPS-ItalicMT" w:hAnsi="TimesNewRomanPS-ItalicMT" w:cs="TimesNewRomanPS-ItalicMT"/>
          <w:i/>
          <w:iCs/>
          <w:sz w:val="23"/>
          <w:szCs w:val="23"/>
        </w:rPr>
        <w:t xml:space="preserve"> </w:t>
      </w:r>
      <w:r>
        <w:rPr>
          <w:rFonts w:ascii="TimesNewRomanPS-ItalicMT" w:hAnsi="TimesNewRomanPS-ItalicMT" w:cs="TimesNewRomanPS-ItalicMT"/>
          <w:i/>
          <w:iCs/>
          <w:sz w:val="23"/>
          <w:szCs w:val="23"/>
        </w:rPr>
        <w:t>come previsto dall’art.183, comma 1, lettera cc) del D.Lgs. n.152 del 3.4.06, e s.m.i.”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- dal regolamento sulla gestione delle IE comunali.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2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Principi e Finalità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Il servizio </w:t>
      </w:r>
      <w:r w:rsidR="006C21A7">
        <w:rPr>
          <w:rFonts w:ascii="TimesNewRomanPSMT" w:hAnsi="TimesNewRomanPSMT" w:cs="TimesNewRomanPSMT"/>
          <w:sz w:val="23"/>
          <w:szCs w:val="23"/>
        </w:rPr>
        <w:t>d</w:t>
      </w:r>
      <w:r>
        <w:rPr>
          <w:rFonts w:ascii="TimesNewRomanPSMT" w:hAnsi="TimesNewRomanPSMT" w:cs="TimesNewRomanPSMT"/>
          <w:sz w:val="23"/>
          <w:szCs w:val="23"/>
        </w:rPr>
        <w:t>i raccolta differenziata presso le IE costituisce attività di pubblico interesse, basata su alcuni principi fondamentali :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a) Fornire al cittadino Centri per la raccolta differenziata dei rifiuti;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b) Prote</w:t>
      </w:r>
      <w:r w:rsidR="008931D9">
        <w:rPr>
          <w:rFonts w:ascii="TimesNewRomanPSMT" w:hAnsi="TimesNewRomanPSMT" w:cs="TimesNewRomanPSMT"/>
          <w:sz w:val="23"/>
          <w:szCs w:val="23"/>
        </w:rPr>
        <w:t xml:space="preserve">ggere </w:t>
      </w:r>
      <w:r>
        <w:rPr>
          <w:rFonts w:ascii="TimesNewRomanPSMT" w:hAnsi="TimesNewRomanPSMT" w:cs="TimesNewRomanPSMT"/>
          <w:sz w:val="23"/>
          <w:szCs w:val="23"/>
        </w:rPr>
        <w:t>l'ambiente e la sanità pubblica;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c) Separa</w:t>
      </w:r>
      <w:r w:rsidR="008931D9">
        <w:rPr>
          <w:rFonts w:ascii="TimesNewRomanPSMT" w:hAnsi="TimesNewRomanPSMT" w:cs="TimesNewRomanPSMT"/>
          <w:sz w:val="23"/>
          <w:szCs w:val="23"/>
        </w:rPr>
        <w:t>r</w:t>
      </w:r>
      <w:r>
        <w:rPr>
          <w:rFonts w:ascii="TimesNewRomanPSMT" w:hAnsi="TimesNewRomanPSMT" w:cs="TimesNewRomanPSMT"/>
          <w:sz w:val="23"/>
          <w:szCs w:val="23"/>
        </w:rPr>
        <w:t>e i diversi materiali facenti parte dei rifiuti non riutilizzabili;</w:t>
      </w:r>
    </w:p>
    <w:p w:rsidR="00FF6273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d) </w:t>
      </w:r>
      <w:r w:rsidR="008931D9">
        <w:rPr>
          <w:rFonts w:ascii="TimesNewRomanPSMT" w:hAnsi="TimesNewRomanPSMT" w:cs="TimesNewRomanPSMT"/>
          <w:sz w:val="23"/>
          <w:szCs w:val="23"/>
        </w:rPr>
        <w:t>I</w:t>
      </w:r>
      <w:r>
        <w:rPr>
          <w:rFonts w:ascii="TimesNewRomanPSMT" w:hAnsi="TimesNewRomanPSMT" w:cs="TimesNewRomanPSMT"/>
          <w:sz w:val="23"/>
          <w:szCs w:val="23"/>
        </w:rPr>
        <w:t>ncentivare il cittadino virtuoso con il riconoscimento di bonus economici sotto forma di buoni</w:t>
      </w:r>
      <w:r w:rsidR="006C21A7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 xml:space="preserve">spesa corrispondenti alla somma maturata con gli eco-punti, </w:t>
      </w:r>
      <w:r w:rsidR="008931D9">
        <w:rPr>
          <w:rFonts w:ascii="TimesNewRomanPSMT" w:hAnsi="TimesNewRomanPSMT" w:cs="TimesNewRomanPSMT"/>
          <w:sz w:val="23"/>
          <w:szCs w:val="23"/>
        </w:rPr>
        <w:t>raccolti</w:t>
      </w:r>
      <w:r>
        <w:rPr>
          <w:rFonts w:ascii="TimesNewRomanPSMT" w:hAnsi="TimesNewRomanPSMT" w:cs="TimesNewRomanPSMT"/>
          <w:sz w:val="23"/>
          <w:szCs w:val="23"/>
        </w:rPr>
        <w:t xml:space="preserve"> entro il dicembre di ogni anno solare, il cui ammontare sarà riportato sul sito del gestore, e spendibili presso gli esercizi commerciali del territorio comunale convenzionati con l’Ente.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F6273" w:rsidRPr="00A91CE4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 w:rsidRPr="00A91CE4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3 </w:t>
      </w:r>
      <w:r w:rsidR="006C21A7" w:rsidRPr="00A91CE4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 w:rsidRPr="00A91CE4">
        <w:rPr>
          <w:rFonts w:ascii="TimesNewRomanPS-BoldMT" w:hAnsi="TimesNewRomanPS-BoldMT" w:cs="TimesNewRomanPS-BoldMT"/>
          <w:b/>
          <w:bCs/>
          <w:sz w:val="23"/>
          <w:szCs w:val="23"/>
        </w:rPr>
        <w:t>Campi di applicazione e destinatari del servizio</w:t>
      </w:r>
    </w:p>
    <w:p w:rsidR="00FF6273" w:rsidRPr="00A91CE4" w:rsidRDefault="00FF6273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0"/>
          <w:szCs w:val="20"/>
        </w:rPr>
      </w:pPr>
      <w:r w:rsidRPr="00A91CE4">
        <w:rPr>
          <w:rFonts w:ascii="TimesNewRomanPSMT" w:hAnsi="TimesNewRomanPSMT" w:cs="TimesNewRomanPSMT"/>
          <w:sz w:val="23"/>
          <w:szCs w:val="23"/>
        </w:rPr>
        <w:t>Il servizio di raccolta differenziata svolto all’interno delle IE, ha l’obiettivo di incentivare</w:t>
      </w:r>
      <w:r w:rsidR="006C21A7" w:rsidRPr="00A91CE4">
        <w:rPr>
          <w:rFonts w:ascii="TimesNewRomanPSMT" w:hAnsi="TimesNewRomanPSMT" w:cs="TimesNewRomanPSMT"/>
          <w:sz w:val="23"/>
          <w:szCs w:val="23"/>
        </w:rPr>
        <w:t xml:space="preserve"> </w:t>
      </w:r>
      <w:r w:rsidRPr="00A91CE4">
        <w:rPr>
          <w:rFonts w:ascii="TimesNewRomanPSMT" w:hAnsi="TimesNewRomanPSMT" w:cs="TimesNewRomanPSMT"/>
          <w:sz w:val="23"/>
          <w:szCs w:val="23"/>
        </w:rPr>
        <w:t>la raccolta differenziata dei rifiuti ed è rivolto alle utenze domestiche e non domestiche residenti nel territorio comunale. I bonus incentivanti (eco-punti) saranno corrisposti solo alle utenze domestiche che provvedano autonomamente al conferimento dei rifiuti presso il centro di raccolta comunale.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0"/>
          <w:szCs w:val="20"/>
        </w:rPr>
      </w:pP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</w:t>
      </w:r>
      <w:r w:rsidR="00053F51">
        <w:rPr>
          <w:rFonts w:ascii="TimesNewRomanPS-BoldMT" w:hAnsi="TimesNewRomanPS-BoldMT" w:cs="TimesNewRomanPS-BoldMT"/>
          <w:b/>
          <w:bCs/>
          <w:sz w:val="23"/>
          <w:szCs w:val="23"/>
        </w:rPr>
        <w:t>4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7946E4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Tipologie di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>rifiuti conferibili</w:t>
      </w:r>
      <w:r w:rsidR="006C21A7" w:rsidRPr="006C21A7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6C21A7">
        <w:rPr>
          <w:rFonts w:ascii="TimesNewRomanPS-BoldMT" w:hAnsi="TimesNewRomanPS-BoldMT" w:cs="TimesNewRomanPS-BoldMT"/>
          <w:b/>
          <w:bCs/>
          <w:sz w:val="23"/>
          <w:szCs w:val="23"/>
        </w:rPr>
        <w:t>e modalità di conferimento</w:t>
      </w:r>
    </w:p>
    <w:p w:rsidR="00FF6273" w:rsidRDefault="00FF6273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Potranno essere conferite tutte le tipologie previste dal D.M. 8 aprile 2008,</w:t>
      </w:r>
    </w:p>
    <w:p w:rsidR="00FF6273" w:rsidRDefault="00FF6273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0"/>
          <w:szCs w:val="20"/>
        </w:rPr>
      </w:pPr>
      <w:r>
        <w:rPr>
          <w:rFonts w:ascii="TimesNewRomanPSMT" w:hAnsi="TimesNewRomanPSMT" w:cs="TimesNewRomanPSMT"/>
          <w:sz w:val="23"/>
          <w:szCs w:val="23"/>
        </w:rPr>
        <w:t>classificati dall’art.184 del D.Lgs. 152/06 ed indicate nel regolamento di gestione dell’IE.</w:t>
      </w:r>
    </w:p>
    <w:p w:rsidR="00FF6273" w:rsidRDefault="00FF6273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Il conferimento dei rifiuti differenziati all'interno dell’IE, è concesso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in forma</w:t>
      </w:r>
      <w:r w:rsidR="007946E4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gratuita</w:t>
      </w:r>
      <w:r>
        <w:rPr>
          <w:rFonts w:ascii="TimesNewRomanPSMT" w:hAnsi="TimesNewRomanPSMT" w:cs="TimesNewRomanPSMT"/>
          <w:sz w:val="23"/>
          <w:szCs w:val="23"/>
        </w:rPr>
        <w:t>, senza che nulla sia dovuto per nessun motivo. Potranno essere previsti corrispettivi per</w:t>
      </w:r>
      <w:r w:rsidR="007946E4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particolari tipi di rifiuti, così come previsto nel Regolamento di gestione dell’IE.</w:t>
      </w:r>
    </w:p>
    <w:p w:rsidR="00FF6273" w:rsidRDefault="00FF6273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lastRenderedPageBreak/>
        <w:t>I rifiuti provenienti da attività domestica potranno essere conferiti utilizzando esclusivamente l’apposita TESSERA SANITARIA per registrare gli utenti che fruiscono del servizio.</w:t>
      </w:r>
    </w:p>
    <w:p w:rsidR="00FF6273" w:rsidRDefault="00FF6273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Il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conferimento diretto di alcune tipologie di rifiuti </w:t>
      </w:r>
      <w:r>
        <w:rPr>
          <w:rFonts w:ascii="TimesNewRomanPSMT" w:hAnsi="TimesNewRomanPSMT" w:cs="TimesNewRomanPSMT"/>
          <w:sz w:val="23"/>
          <w:szCs w:val="23"/>
        </w:rPr>
        <w:t xml:space="preserve">comporterà l’applicazione di un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punteggio </w:t>
      </w:r>
      <w:r>
        <w:rPr>
          <w:rFonts w:ascii="TimesNewRomanPSMT" w:hAnsi="TimesNewRomanPSMT" w:cs="TimesNewRomanPSMT"/>
          <w:sz w:val="23"/>
          <w:szCs w:val="23"/>
        </w:rPr>
        <w:t xml:space="preserve">per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ogni chilogrammo </w:t>
      </w:r>
      <w:r>
        <w:rPr>
          <w:rFonts w:ascii="TimesNewRomanPSMT" w:hAnsi="TimesNewRomanPSMT" w:cs="TimesNewRomanPSMT"/>
          <w:sz w:val="23"/>
          <w:szCs w:val="23"/>
        </w:rPr>
        <w:t>di rifiuto riciclabile (nel caso di carta, cartoni, vetro, multimateriale) o per singolo pezzo (nel caso di tv, frigo, computer, mobili ecc.) conferito e contenente il rifiuto indicato.</w:t>
      </w:r>
    </w:p>
    <w:p w:rsidR="00FF6273" w:rsidRDefault="00FF6273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Si precisa, inoltre, che il punteggio accumulato corrisponde o ad un importo in euro, che consentirà il rilascio di buoni spesa entro il mese di </w:t>
      </w:r>
      <w:r w:rsidR="008931D9">
        <w:rPr>
          <w:rFonts w:ascii="TimesNewRomanPSMT" w:hAnsi="TimesNewRomanPSMT" w:cs="TimesNewRomanPSMT"/>
          <w:sz w:val="23"/>
          <w:szCs w:val="23"/>
        </w:rPr>
        <w:t xml:space="preserve">gennaio successivo all’anno di riferimento della raccolta </w:t>
      </w:r>
      <w:r>
        <w:rPr>
          <w:rFonts w:ascii="TimesNewRomanPSMT" w:hAnsi="TimesNewRomanPSMT" w:cs="TimesNewRomanPSMT"/>
          <w:sz w:val="23"/>
          <w:szCs w:val="23"/>
        </w:rPr>
        <w:t>, spendibile presso attività convenzionate.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</w:t>
      </w:r>
      <w:r w:rsidR="00053F51">
        <w:rPr>
          <w:rFonts w:ascii="TimesNewRomanPS-BoldMT" w:hAnsi="TimesNewRomanPS-BoldMT" w:cs="TimesNewRomanPS-BoldMT"/>
          <w:b/>
          <w:bCs/>
          <w:sz w:val="23"/>
          <w:szCs w:val="23"/>
        </w:rPr>
        <w:t>5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7946E4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Attivazione delle premialità</w:t>
      </w:r>
    </w:p>
    <w:p w:rsidR="00FF6273" w:rsidRDefault="00FF6273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Tutte le attività inerenti l’attivazione e l’erogazione degli eco-punti sono demandate </w:t>
      </w:r>
      <w:r w:rsidR="00540E44">
        <w:rPr>
          <w:rFonts w:ascii="TimesNewRomanPSMT" w:hAnsi="TimesNewRomanPSMT" w:cs="TimesNewRomanPSMT"/>
          <w:sz w:val="23"/>
          <w:szCs w:val="23"/>
        </w:rPr>
        <w:t>al</w:t>
      </w:r>
      <w:r>
        <w:rPr>
          <w:rFonts w:ascii="TimesNewRomanPSMT" w:hAnsi="TimesNewRomanPSMT" w:cs="TimesNewRomanPSMT"/>
          <w:sz w:val="23"/>
          <w:szCs w:val="23"/>
        </w:rPr>
        <w:t xml:space="preserve"> Gestore del</w:t>
      </w:r>
    </w:p>
    <w:p w:rsidR="00FF6273" w:rsidRDefault="00FF6273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MT" w:hAnsi="TimesNewRomanPSMT" w:cs="TimesNewRomanPSMT"/>
          <w:sz w:val="23"/>
          <w:szCs w:val="23"/>
        </w:rPr>
        <w:t>servizio di raccolta differenziata dei rifiuti su disposizione del Funzionario Responsabile Comunale.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0"/>
          <w:szCs w:val="20"/>
        </w:rPr>
      </w:pP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0"/>
          <w:szCs w:val="20"/>
        </w:rPr>
      </w:pPr>
    </w:p>
    <w:p w:rsidR="00540E44" w:rsidRDefault="00540E44" w:rsidP="00540E44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</w:t>
      </w:r>
      <w:r w:rsidR="00053F51">
        <w:rPr>
          <w:rFonts w:ascii="TimesNewRomanPS-BoldMT" w:hAnsi="TimesNewRomanPS-BoldMT" w:cs="TimesNewRomanPS-BoldMT"/>
          <w:b/>
          <w:bCs/>
          <w:sz w:val="23"/>
          <w:szCs w:val="23"/>
        </w:rPr>
        <w:t>6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7946E4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Bonus incentivante per conferimento diretto di carta e cartone</w:t>
      </w:r>
    </w:p>
    <w:p w:rsidR="00540E44" w:rsidRDefault="00540E4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MT" w:hAnsi="TimesNewRomanPSMT" w:cs="TimesNewRomanPSMT"/>
          <w:sz w:val="23"/>
          <w:szCs w:val="23"/>
        </w:rPr>
        <w:t xml:space="preserve">Gli eco-punti sono attribuiti a coloro che conferiscono, direttamente presso le IE, rifiuti di carta della famiglia tipo. Per i conferimenti non ordinari considerati “eccezionali” (grosse quantità di libri, riviste, giornali e simili, cartoni ecc.) il cui peso non rientra in quello di una produzione normale media, ma riveste appunto carattere di eccezionalità, verrà attribuito un eco-punteggio forfetario di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5 eco-punti carta</w:t>
      </w:r>
      <w:r>
        <w:rPr>
          <w:rFonts w:ascii="TimesNewRomanPSMT" w:hAnsi="TimesNewRomanPSMT" w:cs="TimesNewRomanPSMT"/>
          <w:sz w:val="23"/>
          <w:szCs w:val="23"/>
        </w:rPr>
        <w:t>, oltre a registrarlo per statistica. Tutto questo al fine di evitare che l’utente possa conferire materiale prelevato e prodotto in comuni limitrofi. A tal fine si procederà a verificare ogni tre mesi i quantitativi conferiti dall’utenza, onde verificarne la corrispondenza alla media familiare della produzione degli ultimi due anni.</w:t>
      </w:r>
    </w:p>
    <w:p w:rsidR="00FF6273" w:rsidRDefault="00FF6273" w:rsidP="00FF6273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sz w:val="20"/>
          <w:szCs w:val="20"/>
        </w:rPr>
      </w:pPr>
    </w:p>
    <w:p w:rsidR="00540E44" w:rsidRDefault="00540E44" w:rsidP="00540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Tabella eco-punti carta e cartone</w:t>
      </w:r>
    </w:p>
    <w:p w:rsidR="00540E44" w:rsidRDefault="00540E44" w:rsidP="00540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0"/>
        <w:gridCol w:w="3371"/>
        <w:gridCol w:w="3371"/>
      </w:tblGrid>
      <w:tr w:rsidR="00540E44" w:rsidTr="00540E44">
        <w:tc>
          <w:tcPr>
            <w:tcW w:w="3370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Punti</w:t>
            </w:r>
          </w:p>
        </w:tc>
        <w:tc>
          <w:tcPr>
            <w:tcW w:w="3371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Quantità di calcolo eco-punti</w:t>
            </w:r>
          </w:p>
        </w:tc>
        <w:tc>
          <w:tcPr>
            <w:tcW w:w="3371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Quantità max</w:t>
            </w:r>
          </w:p>
        </w:tc>
      </w:tr>
      <w:tr w:rsidR="00540E44" w:rsidTr="00540E44">
        <w:tc>
          <w:tcPr>
            <w:tcW w:w="3370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1 eco-punto carta</w:t>
            </w:r>
          </w:p>
        </w:tc>
        <w:tc>
          <w:tcPr>
            <w:tcW w:w="3371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Per ogni kg di carta conferita</w:t>
            </w:r>
          </w:p>
        </w:tc>
        <w:tc>
          <w:tcPr>
            <w:tcW w:w="3371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Kg 300 – quota limite di conferimento</w:t>
            </w:r>
            <w:r w:rsidR="008479E2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>oltre la quale non vengono riconosciuti</w:t>
            </w:r>
          </w:p>
          <w:p w:rsidR="00540E44" w:rsidRDefault="0075542E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ulteriori</w:t>
            </w:r>
            <w:r w:rsidR="00540E44">
              <w:rPr>
                <w:rFonts w:ascii="TimesNewRomanPSMT" w:hAnsi="TimesNewRomanPSMT" w:cs="TimesNewRomanPSMT"/>
                <w:sz w:val="23"/>
                <w:szCs w:val="23"/>
              </w:rPr>
              <w:t xml:space="preserve"> eco-punti</w:t>
            </w:r>
          </w:p>
        </w:tc>
      </w:tr>
    </w:tbl>
    <w:p w:rsidR="00540E44" w:rsidRDefault="00540E44" w:rsidP="00540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40E44" w:rsidRPr="007946E4" w:rsidRDefault="00540E44" w:rsidP="00540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  <w:r w:rsidRPr="007946E4">
        <w:rPr>
          <w:rFonts w:ascii="TimesNewRomanPSMT" w:hAnsi="TimesNewRomanPSMT" w:cs="TimesNewRomanPSMT"/>
          <w:sz w:val="23"/>
          <w:szCs w:val="23"/>
        </w:rPr>
        <w:t>Scala di punteggio a cui corrispondono i bonus economici</w:t>
      </w:r>
    </w:p>
    <w:p w:rsidR="00540E44" w:rsidRDefault="00540E44" w:rsidP="00540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540E44" w:rsidTr="00540E44">
        <w:tc>
          <w:tcPr>
            <w:tcW w:w="1685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8</w:t>
            </w:r>
          </w:p>
        </w:tc>
        <w:tc>
          <w:tcPr>
            <w:tcW w:w="1685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10</w:t>
            </w:r>
          </w:p>
        </w:tc>
        <w:tc>
          <w:tcPr>
            <w:tcW w:w="1685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12</w:t>
            </w:r>
          </w:p>
        </w:tc>
        <w:tc>
          <w:tcPr>
            <w:tcW w:w="1685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14</w:t>
            </w:r>
          </w:p>
        </w:tc>
        <w:tc>
          <w:tcPr>
            <w:tcW w:w="1686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16</w:t>
            </w:r>
          </w:p>
        </w:tc>
        <w:tc>
          <w:tcPr>
            <w:tcW w:w="1686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20</w:t>
            </w:r>
          </w:p>
        </w:tc>
      </w:tr>
      <w:tr w:rsidR="00540E44" w:rsidTr="00540E44">
        <w:tc>
          <w:tcPr>
            <w:tcW w:w="1685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10-50 punti</w:t>
            </w:r>
          </w:p>
        </w:tc>
        <w:tc>
          <w:tcPr>
            <w:tcW w:w="1685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51-100 punti</w:t>
            </w:r>
          </w:p>
        </w:tc>
        <w:tc>
          <w:tcPr>
            <w:tcW w:w="1685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101-150 punti</w:t>
            </w:r>
          </w:p>
        </w:tc>
        <w:tc>
          <w:tcPr>
            <w:tcW w:w="1685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151-200 punti</w:t>
            </w:r>
          </w:p>
        </w:tc>
        <w:tc>
          <w:tcPr>
            <w:tcW w:w="1686" w:type="dxa"/>
          </w:tcPr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201-250 punti</w:t>
            </w:r>
          </w:p>
        </w:tc>
        <w:tc>
          <w:tcPr>
            <w:tcW w:w="1686" w:type="dxa"/>
          </w:tcPr>
          <w:p w:rsidR="00540E44" w:rsidRPr="007946E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251-300 punti</w:t>
            </w:r>
          </w:p>
          <w:p w:rsidR="00540E44" w:rsidRDefault="00540E44" w:rsidP="00540E44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</w:tbl>
    <w:p w:rsidR="00540E44" w:rsidRDefault="00540E44" w:rsidP="00540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540E44" w:rsidRDefault="00540E44" w:rsidP="00540E44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4"/>
          <w:szCs w:val="24"/>
        </w:rPr>
      </w:pPr>
    </w:p>
    <w:p w:rsidR="00540E44" w:rsidRDefault="00540E4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</w:t>
      </w:r>
      <w:r w:rsidR="00053F51">
        <w:rPr>
          <w:rFonts w:ascii="TimesNewRomanPS-BoldMT" w:hAnsi="TimesNewRomanPS-BoldMT" w:cs="TimesNewRomanPS-BoldMT"/>
          <w:b/>
          <w:bCs/>
          <w:sz w:val="23"/>
          <w:szCs w:val="23"/>
        </w:rPr>
        <w:t>7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7946E4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Bonus incentivante per conferimento diretto di multimateriale (plastica, banda stagnata, alluminio)</w:t>
      </w:r>
    </w:p>
    <w:p w:rsidR="00540E44" w:rsidRPr="0036343D" w:rsidRDefault="00540E4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Gli eco-punti sono attribuiti a coloro che conferiscono direttamente presso l’IE i rifiuti di </w:t>
      </w:r>
      <w:proofErr w:type="spellStart"/>
      <w:r>
        <w:rPr>
          <w:rFonts w:ascii="TimesNewRomanPSMT" w:hAnsi="TimesNewRomanPSMT" w:cs="TimesNewRomanPSMT"/>
          <w:sz w:val="23"/>
          <w:szCs w:val="23"/>
        </w:rPr>
        <w:t>multimateriale</w:t>
      </w:r>
      <w:proofErr w:type="spellEnd"/>
      <w:r>
        <w:rPr>
          <w:rFonts w:ascii="TimesNewRomanPSMT" w:hAnsi="TimesNewRomanPSMT" w:cs="TimesNewRomanPSMT"/>
          <w:sz w:val="23"/>
          <w:szCs w:val="23"/>
        </w:rPr>
        <w:t xml:space="preserve"> della famiglia tipo. Ai conferimenti non ordinari considerati “eccezionali” (grosse quantità di scatolette metalliche, plastiche pesanti e simili ecc.) il cui peso non rientra in quello di una produzione normale media, ma riveste appunto carattere di eccezionalità, verrà attribuito un eco-punteggio forfetario di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3 eco-punti multi</w:t>
      </w:r>
      <w:r>
        <w:rPr>
          <w:rFonts w:ascii="TimesNewRomanPSMT" w:hAnsi="TimesNewRomanPSMT" w:cs="TimesNewRomanPSMT"/>
          <w:sz w:val="23"/>
          <w:szCs w:val="23"/>
        </w:rPr>
        <w:t>, oltre a registrarlo per statistica. Tutto questo al fine di evitare che l’utente possa conferire materiale prelevato e prodotto in</w:t>
      </w:r>
      <w:r w:rsidR="0036343D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comuni limitrofi. A tal fine si procederà a verificare ogni tre mesi i quantitativi conferiti dall’utenza,</w:t>
      </w:r>
      <w:r w:rsidR="0036343D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onde verificarne la corrispondenza alla media familiare della produzione degli ultimi due anni.</w:t>
      </w:r>
    </w:p>
    <w:p w:rsidR="00540E44" w:rsidRDefault="00540E4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4"/>
          <w:szCs w:val="24"/>
        </w:rPr>
      </w:pPr>
    </w:p>
    <w:p w:rsidR="00540E44" w:rsidRPr="007946E4" w:rsidRDefault="00540E4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Tabella eco-punti multimateriale</w:t>
      </w:r>
    </w:p>
    <w:p w:rsidR="00540E44" w:rsidRPr="007946E4" w:rsidRDefault="00540E4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0"/>
        <w:gridCol w:w="3371"/>
        <w:gridCol w:w="3371"/>
      </w:tblGrid>
      <w:tr w:rsidR="00540E44" w:rsidTr="0022300D">
        <w:tc>
          <w:tcPr>
            <w:tcW w:w="3370" w:type="dxa"/>
          </w:tcPr>
          <w:p w:rsidR="00540E44" w:rsidRDefault="00540E44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Punti</w:t>
            </w:r>
          </w:p>
        </w:tc>
        <w:tc>
          <w:tcPr>
            <w:tcW w:w="3371" w:type="dxa"/>
          </w:tcPr>
          <w:p w:rsidR="00540E44" w:rsidRDefault="00540E44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Quantità di calcolo eco-punti</w:t>
            </w:r>
          </w:p>
        </w:tc>
        <w:tc>
          <w:tcPr>
            <w:tcW w:w="3371" w:type="dxa"/>
          </w:tcPr>
          <w:p w:rsidR="00540E44" w:rsidRDefault="00540E44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Quantità max</w:t>
            </w:r>
          </w:p>
        </w:tc>
      </w:tr>
      <w:tr w:rsidR="00540E44" w:rsidTr="0022300D">
        <w:tc>
          <w:tcPr>
            <w:tcW w:w="3370" w:type="dxa"/>
          </w:tcPr>
          <w:p w:rsidR="00540E44" w:rsidRDefault="00540E44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1 eco-punto multi</w:t>
            </w:r>
            <w:r w:rsidR="00053F51">
              <w:rPr>
                <w:rFonts w:ascii="TimesNewRomanPSMT" w:hAnsi="TimesNewRomanPSMT" w:cs="TimesNewRomanPSMT"/>
                <w:sz w:val="23"/>
                <w:szCs w:val="23"/>
              </w:rPr>
              <w:t>materiale</w:t>
            </w:r>
          </w:p>
        </w:tc>
        <w:tc>
          <w:tcPr>
            <w:tcW w:w="3371" w:type="dxa"/>
          </w:tcPr>
          <w:p w:rsidR="00540E44" w:rsidRDefault="00540E44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Per ogni kg di multimateriale</w:t>
            </w:r>
          </w:p>
        </w:tc>
        <w:tc>
          <w:tcPr>
            <w:tcW w:w="3371" w:type="dxa"/>
          </w:tcPr>
          <w:p w:rsidR="00540E44" w:rsidRDefault="00540E44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Kg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3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>00 – quota limite di conferimento</w:t>
            </w:r>
            <w:r w:rsidR="008479E2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>oltre la quale non vengono riconosciuti</w:t>
            </w:r>
          </w:p>
          <w:p w:rsidR="00540E44" w:rsidRDefault="0036343D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ulteriori</w:t>
            </w:r>
            <w:r w:rsidR="00540E44">
              <w:rPr>
                <w:rFonts w:ascii="TimesNewRomanPSMT" w:hAnsi="TimesNewRomanPSMT" w:cs="TimesNewRomanPSMT"/>
                <w:sz w:val="23"/>
                <w:szCs w:val="23"/>
              </w:rPr>
              <w:t xml:space="preserve"> eco-punti</w:t>
            </w:r>
          </w:p>
        </w:tc>
      </w:tr>
    </w:tbl>
    <w:p w:rsidR="00540E44" w:rsidRDefault="00540E4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540E44" w:rsidRPr="007946E4" w:rsidRDefault="00540E4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7946E4">
        <w:rPr>
          <w:rFonts w:ascii="TimesNewRomanPSMT" w:hAnsi="TimesNewRomanPSMT" w:cs="TimesNewRomanPSMT"/>
          <w:sz w:val="23"/>
          <w:szCs w:val="23"/>
        </w:rPr>
        <w:t>Scala di punteggio a cui corrispondono i bonus economici</w:t>
      </w:r>
    </w:p>
    <w:p w:rsidR="00540E44" w:rsidRDefault="00540E4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540E44" w:rsidTr="0022300D">
        <w:tc>
          <w:tcPr>
            <w:tcW w:w="1685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5</w:t>
            </w:r>
          </w:p>
        </w:tc>
        <w:tc>
          <w:tcPr>
            <w:tcW w:w="1685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10</w:t>
            </w:r>
          </w:p>
        </w:tc>
        <w:tc>
          <w:tcPr>
            <w:tcW w:w="1685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13</w:t>
            </w:r>
          </w:p>
        </w:tc>
        <w:tc>
          <w:tcPr>
            <w:tcW w:w="1685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15</w:t>
            </w:r>
          </w:p>
        </w:tc>
        <w:tc>
          <w:tcPr>
            <w:tcW w:w="1686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17</w:t>
            </w:r>
          </w:p>
        </w:tc>
        <w:tc>
          <w:tcPr>
            <w:tcW w:w="1686" w:type="dxa"/>
          </w:tcPr>
          <w:p w:rsidR="00540E44" w:rsidRDefault="00540E44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20</w:t>
            </w:r>
          </w:p>
        </w:tc>
      </w:tr>
      <w:tr w:rsidR="00540E44" w:rsidTr="0022300D">
        <w:tc>
          <w:tcPr>
            <w:tcW w:w="1685" w:type="dxa"/>
          </w:tcPr>
          <w:p w:rsidR="00540E44" w:rsidRDefault="00540E44" w:rsidP="0032319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1-</w:t>
            </w:r>
            <w:r w:rsidR="00053F51" w:rsidRPr="007946E4">
              <w:rPr>
                <w:rFonts w:ascii="TimesNewRomanPSMT" w:hAnsi="TimesNewRomanPSMT" w:cs="TimesNewRomanPSMT"/>
                <w:sz w:val="23"/>
                <w:szCs w:val="23"/>
              </w:rPr>
              <w:t>10</w:t>
            </w: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 punti</w:t>
            </w:r>
          </w:p>
        </w:tc>
        <w:tc>
          <w:tcPr>
            <w:tcW w:w="1685" w:type="dxa"/>
          </w:tcPr>
          <w:p w:rsidR="00540E44" w:rsidRDefault="00053F51" w:rsidP="00323196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11</w:t>
            </w:r>
            <w:r w:rsidR="00540E44" w:rsidRPr="007946E4">
              <w:rPr>
                <w:rFonts w:ascii="TimesNewRomanPSMT" w:hAnsi="TimesNewRomanPSMT" w:cs="TimesNewRomanPSMT"/>
                <w:sz w:val="23"/>
                <w:szCs w:val="23"/>
              </w:rPr>
              <w:t>-</w:t>
            </w:r>
            <w:r w:rsidR="00323196">
              <w:rPr>
                <w:rFonts w:ascii="TimesNewRomanPSMT" w:hAnsi="TimesNewRomanPSMT" w:cs="TimesNewRomanPSMT"/>
                <w:sz w:val="23"/>
                <w:szCs w:val="23"/>
              </w:rPr>
              <w:t>5</w:t>
            </w:r>
            <w:r w:rsidR="00540E44" w:rsidRPr="007946E4">
              <w:rPr>
                <w:rFonts w:ascii="TimesNewRomanPSMT" w:hAnsi="TimesNewRomanPSMT" w:cs="TimesNewRomanPSMT"/>
                <w:sz w:val="23"/>
                <w:szCs w:val="23"/>
              </w:rPr>
              <w:t>0 punti</w:t>
            </w:r>
          </w:p>
        </w:tc>
        <w:tc>
          <w:tcPr>
            <w:tcW w:w="1685" w:type="dxa"/>
          </w:tcPr>
          <w:p w:rsidR="00540E44" w:rsidRDefault="00323196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5</w:t>
            </w:r>
            <w:r w:rsidR="00540E44" w:rsidRPr="007946E4">
              <w:rPr>
                <w:rFonts w:ascii="TimesNewRomanPSMT" w:hAnsi="TimesNewRomanPSMT" w:cs="TimesNewRomanPSMT"/>
                <w:sz w:val="23"/>
                <w:szCs w:val="23"/>
              </w:rPr>
              <w:t>1-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</w:t>
            </w:r>
            <w:r w:rsidR="00053F51" w:rsidRPr="007946E4">
              <w:rPr>
                <w:rFonts w:ascii="TimesNewRomanPSMT" w:hAnsi="TimesNewRomanPSMT" w:cs="TimesNewRomanPSMT"/>
                <w:sz w:val="23"/>
                <w:szCs w:val="23"/>
              </w:rPr>
              <w:t>0</w:t>
            </w:r>
            <w:r w:rsidR="00540E44" w:rsidRPr="007946E4">
              <w:rPr>
                <w:rFonts w:ascii="TimesNewRomanPSMT" w:hAnsi="TimesNewRomanPSMT" w:cs="TimesNewRomanPSMT"/>
                <w:sz w:val="23"/>
                <w:szCs w:val="23"/>
              </w:rPr>
              <w:t>0 punti</w:t>
            </w:r>
          </w:p>
        </w:tc>
        <w:tc>
          <w:tcPr>
            <w:tcW w:w="1685" w:type="dxa"/>
          </w:tcPr>
          <w:p w:rsidR="00540E44" w:rsidRDefault="0075542E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1</w:t>
            </w:r>
            <w:r w:rsidR="00053F51" w:rsidRPr="007946E4">
              <w:rPr>
                <w:rFonts w:ascii="TimesNewRomanPSMT" w:hAnsi="TimesNewRomanPSMT" w:cs="TimesNewRomanPSMT"/>
                <w:sz w:val="23"/>
                <w:szCs w:val="23"/>
              </w:rPr>
              <w:t>01</w:t>
            </w:r>
            <w:r w:rsidR="00540E44" w:rsidRPr="007946E4">
              <w:rPr>
                <w:rFonts w:ascii="TimesNewRomanPSMT" w:hAnsi="TimesNewRomanPSMT" w:cs="TimesNewRomanPSMT"/>
                <w:sz w:val="23"/>
                <w:szCs w:val="23"/>
              </w:rPr>
              <w:t>-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>1</w:t>
            </w:r>
            <w:r w:rsidR="00053F51" w:rsidRPr="007946E4">
              <w:rPr>
                <w:rFonts w:ascii="TimesNewRomanPSMT" w:hAnsi="TimesNewRomanPSMT" w:cs="TimesNewRomanPSMT"/>
                <w:sz w:val="23"/>
                <w:szCs w:val="23"/>
              </w:rPr>
              <w:t>5</w:t>
            </w:r>
            <w:r w:rsidR="00540E44" w:rsidRPr="007946E4">
              <w:rPr>
                <w:rFonts w:ascii="TimesNewRomanPSMT" w:hAnsi="TimesNewRomanPSMT" w:cs="TimesNewRomanPSMT"/>
                <w:sz w:val="23"/>
                <w:szCs w:val="23"/>
              </w:rPr>
              <w:t>0 punti</w:t>
            </w:r>
          </w:p>
        </w:tc>
        <w:tc>
          <w:tcPr>
            <w:tcW w:w="1686" w:type="dxa"/>
          </w:tcPr>
          <w:p w:rsidR="00540E44" w:rsidRDefault="0075542E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1</w:t>
            </w:r>
            <w:r w:rsidR="00053F51" w:rsidRPr="007946E4">
              <w:rPr>
                <w:rFonts w:ascii="TimesNewRomanPSMT" w:hAnsi="TimesNewRomanPSMT" w:cs="TimesNewRomanPSMT"/>
                <w:sz w:val="23"/>
                <w:szCs w:val="23"/>
              </w:rPr>
              <w:t>5</w:t>
            </w:r>
            <w:r w:rsidR="00540E44" w:rsidRPr="007946E4">
              <w:rPr>
                <w:rFonts w:ascii="TimesNewRomanPSMT" w:hAnsi="TimesNewRomanPSMT" w:cs="TimesNewRomanPSMT"/>
                <w:sz w:val="23"/>
                <w:szCs w:val="23"/>
              </w:rPr>
              <w:t>1-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>2</w:t>
            </w:r>
            <w:r w:rsidR="00053F51" w:rsidRPr="007946E4">
              <w:rPr>
                <w:rFonts w:ascii="TimesNewRomanPSMT" w:hAnsi="TimesNewRomanPSMT" w:cs="TimesNewRomanPSMT"/>
                <w:sz w:val="23"/>
                <w:szCs w:val="23"/>
              </w:rPr>
              <w:t>0</w:t>
            </w:r>
            <w:r w:rsidR="00540E44" w:rsidRPr="007946E4">
              <w:rPr>
                <w:rFonts w:ascii="TimesNewRomanPSMT" w:hAnsi="TimesNewRomanPSMT" w:cs="TimesNewRomanPSMT"/>
                <w:sz w:val="23"/>
                <w:szCs w:val="23"/>
              </w:rPr>
              <w:t>0 punti</w:t>
            </w:r>
          </w:p>
        </w:tc>
        <w:tc>
          <w:tcPr>
            <w:tcW w:w="1686" w:type="dxa"/>
          </w:tcPr>
          <w:p w:rsidR="00540E44" w:rsidRPr="007946E4" w:rsidRDefault="0075542E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2</w:t>
            </w:r>
            <w:r w:rsidR="00053F51" w:rsidRPr="007946E4">
              <w:rPr>
                <w:rFonts w:ascii="TimesNewRomanPSMT" w:hAnsi="TimesNewRomanPSMT" w:cs="TimesNewRomanPSMT"/>
                <w:sz w:val="23"/>
                <w:szCs w:val="23"/>
              </w:rPr>
              <w:t>01</w:t>
            </w:r>
            <w:r w:rsidR="00540E44" w:rsidRPr="007946E4">
              <w:rPr>
                <w:rFonts w:ascii="TimesNewRomanPSMT" w:hAnsi="TimesNewRomanPSMT" w:cs="TimesNewRomanPSMT"/>
                <w:sz w:val="23"/>
                <w:szCs w:val="23"/>
              </w:rPr>
              <w:t>-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>3</w:t>
            </w:r>
            <w:r w:rsidR="00540E44" w:rsidRPr="007946E4">
              <w:rPr>
                <w:rFonts w:ascii="TimesNewRomanPSMT" w:hAnsi="TimesNewRomanPSMT" w:cs="TimesNewRomanPSMT"/>
                <w:sz w:val="23"/>
                <w:szCs w:val="23"/>
              </w:rPr>
              <w:t>00 punti</w:t>
            </w:r>
          </w:p>
          <w:p w:rsidR="00540E44" w:rsidRDefault="00540E44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</w:tbl>
    <w:p w:rsidR="00540E44" w:rsidRDefault="00540E4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053F51" w:rsidRDefault="00053F51" w:rsidP="00053F51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8 </w:t>
      </w:r>
      <w:r w:rsidR="007946E4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Bonus incentivante per conferimento diretto di vetro pulito</w:t>
      </w:r>
    </w:p>
    <w:p w:rsidR="00053F51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Gli eco-punti sono attribuiti a coloro che conferiscono direttamente presso l’isola ecologica il vetro</w:t>
      </w:r>
    </w:p>
    <w:p w:rsidR="00053F51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selezionato di colore bianco, verde ecc., senza impurità (tappi in plastica, metallici ecc.)</w:t>
      </w:r>
    </w:p>
    <w:p w:rsidR="00053F51" w:rsidRDefault="00053F51" w:rsidP="00053F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053F51" w:rsidRPr="007946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Tabella eco-punti vetro</w:t>
      </w:r>
    </w:p>
    <w:p w:rsidR="00053F51" w:rsidRPr="007946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0"/>
        <w:gridCol w:w="3371"/>
        <w:gridCol w:w="3371"/>
      </w:tblGrid>
      <w:tr w:rsidR="00053F51" w:rsidTr="0022300D">
        <w:tc>
          <w:tcPr>
            <w:tcW w:w="3370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Punti</w:t>
            </w:r>
          </w:p>
        </w:tc>
        <w:tc>
          <w:tcPr>
            <w:tcW w:w="3371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Quantità di calcolo eco-punti</w:t>
            </w:r>
          </w:p>
        </w:tc>
        <w:tc>
          <w:tcPr>
            <w:tcW w:w="3371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Quantità max</w:t>
            </w:r>
          </w:p>
        </w:tc>
      </w:tr>
      <w:tr w:rsidR="00053F51" w:rsidTr="0022300D">
        <w:tc>
          <w:tcPr>
            <w:tcW w:w="3370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1 eco-punto vetro</w:t>
            </w:r>
          </w:p>
        </w:tc>
        <w:tc>
          <w:tcPr>
            <w:tcW w:w="3371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Per ogni kg di vetro</w:t>
            </w:r>
          </w:p>
        </w:tc>
        <w:tc>
          <w:tcPr>
            <w:tcW w:w="3371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Kg 200 – quota limite di conferimento</w:t>
            </w:r>
            <w:r w:rsidR="008479E2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>oltre la quale non vengono riconosciuti</w:t>
            </w:r>
          </w:p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gli eco-punti</w:t>
            </w:r>
          </w:p>
        </w:tc>
      </w:tr>
    </w:tbl>
    <w:p w:rsidR="00053F51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053F51" w:rsidRPr="007946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7946E4">
        <w:rPr>
          <w:rFonts w:ascii="TimesNewRomanPSMT" w:hAnsi="TimesNewRomanPSMT" w:cs="TimesNewRomanPSMT"/>
          <w:sz w:val="23"/>
          <w:szCs w:val="23"/>
        </w:rPr>
        <w:t>Scala di punteggio a cui corrispondono i bonus economici</w:t>
      </w:r>
    </w:p>
    <w:p w:rsidR="00053F51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685"/>
        <w:gridCol w:w="1685"/>
        <w:gridCol w:w="1685"/>
        <w:gridCol w:w="1685"/>
        <w:gridCol w:w="1686"/>
        <w:gridCol w:w="1686"/>
      </w:tblGrid>
      <w:tr w:rsidR="00053F51" w:rsidTr="0022300D">
        <w:tc>
          <w:tcPr>
            <w:tcW w:w="1685" w:type="dxa"/>
          </w:tcPr>
          <w:p w:rsidR="00053F51" w:rsidRDefault="00053F51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5</w:t>
            </w:r>
          </w:p>
        </w:tc>
        <w:tc>
          <w:tcPr>
            <w:tcW w:w="1685" w:type="dxa"/>
          </w:tcPr>
          <w:p w:rsidR="00053F51" w:rsidRDefault="00053F51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10</w:t>
            </w:r>
          </w:p>
        </w:tc>
        <w:tc>
          <w:tcPr>
            <w:tcW w:w="1685" w:type="dxa"/>
          </w:tcPr>
          <w:p w:rsidR="00053F51" w:rsidRDefault="00053F51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15</w:t>
            </w:r>
          </w:p>
        </w:tc>
        <w:tc>
          <w:tcPr>
            <w:tcW w:w="1685" w:type="dxa"/>
          </w:tcPr>
          <w:p w:rsidR="00053F51" w:rsidRDefault="00053F51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17</w:t>
            </w:r>
          </w:p>
        </w:tc>
        <w:tc>
          <w:tcPr>
            <w:tcW w:w="1686" w:type="dxa"/>
          </w:tcPr>
          <w:p w:rsidR="00053F51" w:rsidRDefault="00053F51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€ 1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9</w:t>
            </w:r>
          </w:p>
        </w:tc>
        <w:tc>
          <w:tcPr>
            <w:tcW w:w="1686" w:type="dxa"/>
          </w:tcPr>
          <w:p w:rsidR="00053F51" w:rsidRDefault="00053F51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20</w:t>
            </w:r>
          </w:p>
        </w:tc>
      </w:tr>
      <w:tr w:rsidR="00053F51" w:rsidTr="0022300D">
        <w:tc>
          <w:tcPr>
            <w:tcW w:w="1685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10-30 punti</w:t>
            </w:r>
          </w:p>
        </w:tc>
        <w:tc>
          <w:tcPr>
            <w:tcW w:w="1685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311-70 punti</w:t>
            </w:r>
          </w:p>
        </w:tc>
        <w:tc>
          <w:tcPr>
            <w:tcW w:w="1685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71-100 punti</w:t>
            </w:r>
          </w:p>
        </w:tc>
        <w:tc>
          <w:tcPr>
            <w:tcW w:w="1685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101-130 punti</w:t>
            </w:r>
          </w:p>
        </w:tc>
        <w:tc>
          <w:tcPr>
            <w:tcW w:w="1686" w:type="dxa"/>
          </w:tcPr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131-150 punti</w:t>
            </w:r>
          </w:p>
        </w:tc>
        <w:tc>
          <w:tcPr>
            <w:tcW w:w="1686" w:type="dxa"/>
          </w:tcPr>
          <w:p w:rsidR="00053F51" w:rsidRPr="007946E4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7946E4">
              <w:rPr>
                <w:rFonts w:ascii="TimesNewRomanPSMT" w:hAnsi="TimesNewRomanPSMT" w:cs="TimesNewRomanPSMT"/>
                <w:sz w:val="23"/>
                <w:szCs w:val="23"/>
              </w:rPr>
              <w:t>151-200 punti</w:t>
            </w:r>
          </w:p>
          <w:p w:rsidR="00053F51" w:rsidRDefault="00053F51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</w:p>
        </w:tc>
      </w:tr>
    </w:tbl>
    <w:p w:rsidR="00FF6273" w:rsidRDefault="00FF6273"/>
    <w:p w:rsidR="00003ED9" w:rsidRDefault="00003ED9" w:rsidP="00003ED9">
      <w:pPr>
        <w:autoSpaceDE w:val="0"/>
        <w:autoSpaceDN w:val="0"/>
        <w:adjustRightInd w:val="0"/>
        <w:spacing w:after="0" w:line="240" w:lineRule="auto"/>
        <w:rPr>
          <w:rFonts w:ascii="TimesNewRomanPS-BoldMT" w:hAnsi="TimesNewRomanPS-BoldMT" w:cs="TimesNewRomanPS-BoldMT"/>
          <w:b/>
          <w:bCs/>
          <w:sz w:val="23"/>
          <w:szCs w:val="23"/>
        </w:rPr>
      </w:pPr>
      <w:r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Art. 9 </w:t>
      </w:r>
      <w:r w:rsidR="007946E4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Bonus incentivante per conferimento diretto di olio esausto</w:t>
      </w:r>
    </w:p>
    <w:p w:rsidR="00003ED9" w:rsidRDefault="00003ED9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0"/>
          <w:szCs w:val="20"/>
        </w:rPr>
      </w:pPr>
      <w:r>
        <w:rPr>
          <w:rFonts w:ascii="TimesNewRomanPSMT" w:hAnsi="TimesNewRomanPSMT" w:cs="TimesNewRomanPSMT"/>
          <w:sz w:val="23"/>
          <w:szCs w:val="23"/>
        </w:rPr>
        <w:t xml:space="preserve">Gli eco-punti sono attribuiti a coloro che conferiscono direttamente presso l’IE gli oli esausti con un tetto massimo di conferimento, per l’attribuzione del bonus, di litri venti. Ai conferimenti non ordinari considerati “eccezionali” il cui </w:t>
      </w:r>
      <w:r w:rsidR="007946E4">
        <w:rPr>
          <w:rFonts w:ascii="TimesNewRomanPSMT" w:hAnsi="TimesNewRomanPSMT" w:cs="TimesNewRomanPSMT"/>
          <w:sz w:val="23"/>
          <w:szCs w:val="23"/>
        </w:rPr>
        <w:t>quantitativo</w:t>
      </w:r>
      <w:r>
        <w:rPr>
          <w:rFonts w:ascii="TimesNewRomanPSMT" w:hAnsi="TimesNewRomanPSMT" w:cs="TimesNewRomanPSMT"/>
          <w:sz w:val="23"/>
          <w:szCs w:val="23"/>
        </w:rPr>
        <w:t xml:space="preserve"> non rientra in quello di una produzione normale media, ma riveste appunto carattere di eccezionalità, verrà attribuito un eco-punteggio forfetario di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3 eco-punti olio</w:t>
      </w:r>
      <w:r>
        <w:rPr>
          <w:rFonts w:ascii="TimesNewRomanPSMT" w:hAnsi="TimesNewRomanPSMT" w:cs="TimesNewRomanPSMT"/>
          <w:sz w:val="23"/>
          <w:szCs w:val="23"/>
        </w:rPr>
        <w:t>, oltre a registrarlo per statistica. Tutto questo al fine di evitare che l’utente possa conferire materiale prelevato e prodotto in</w:t>
      </w:r>
      <w:r w:rsidR="008479E2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comuni limitrofi. A tal fine si procederà a verificare ogni tre mesi i quantitativi conferiti dall’utenza,</w:t>
      </w:r>
      <w:r w:rsidR="008479E2">
        <w:rPr>
          <w:rFonts w:ascii="TimesNewRomanPSMT" w:hAnsi="TimesNewRomanPSMT" w:cs="TimesNewRomanPSMT"/>
          <w:sz w:val="23"/>
          <w:szCs w:val="23"/>
        </w:rPr>
        <w:t xml:space="preserve"> </w:t>
      </w:r>
      <w:r>
        <w:rPr>
          <w:rFonts w:ascii="TimesNewRomanPSMT" w:hAnsi="TimesNewRomanPSMT" w:cs="TimesNewRomanPSMT"/>
          <w:sz w:val="23"/>
          <w:szCs w:val="23"/>
        </w:rPr>
        <w:t>onde verificarne la corrispondenza alla media familiare della produzione degli ultimi due anni.</w:t>
      </w:r>
    </w:p>
    <w:p w:rsidR="007946E4" w:rsidRDefault="007946E4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003ED9" w:rsidRPr="007946E4" w:rsidRDefault="00003ED9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Tabella eco-punti olio</w:t>
      </w:r>
    </w:p>
    <w:p w:rsidR="00003ED9" w:rsidRPr="007946E4" w:rsidRDefault="00003ED9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0"/>
        <w:gridCol w:w="3371"/>
        <w:gridCol w:w="3371"/>
      </w:tblGrid>
      <w:tr w:rsidR="00003ED9" w:rsidTr="0022300D">
        <w:tc>
          <w:tcPr>
            <w:tcW w:w="3370" w:type="dxa"/>
          </w:tcPr>
          <w:p w:rsidR="00003ED9" w:rsidRDefault="00003ED9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Punti</w:t>
            </w:r>
          </w:p>
        </w:tc>
        <w:tc>
          <w:tcPr>
            <w:tcW w:w="3371" w:type="dxa"/>
          </w:tcPr>
          <w:p w:rsidR="00003ED9" w:rsidRDefault="00003ED9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Quantità di calcolo eco-punti</w:t>
            </w:r>
          </w:p>
        </w:tc>
        <w:tc>
          <w:tcPr>
            <w:tcW w:w="3371" w:type="dxa"/>
          </w:tcPr>
          <w:p w:rsidR="00003ED9" w:rsidRDefault="00003ED9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Quantità max</w:t>
            </w:r>
          </w:p>
        </w:tc>
      </w:tr>
      <w:tr w:rsidR="00003ED9" w:rsidTr="0022300D">
        <w:tc>
          <w:tcPr>
            <w:tcW w:w="3370" w:type="dxa"/>
          </w:tcPr>
          <w:p w:rsidR="00003ED9" w:rsidRDefault="00003ED9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1 eco-punto olio</w:t>
            </w:r>
          </w:p>
        </w:tc>
        <w:tc>
          <w:tcPr>
            <w:tcW w:w="3371" w:type="dxa"/>
          </w:tcPr>
          <w:p w:rsidR="00003ED9" w:rsidRDefault="00003ED9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Per ogni litro di olio esausto</w:t>
            </w:r>
          </w:p>
        </w:tc>
        <w:tc>
          <w:tcPr>
            <w:tcW w:w="3371" w:type="dxa"/>
          </w:tcPr>
          <w:p w:rsidR="00003ED9" w:rsidRDefault="00003ED9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lt 20 – quota limite di conferimento</w:t>
            </w:r>
            <w:r w:rsidR="008479E2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oltre la quale </w:t>
            </w:r>
            <w:r>
              <w:rPr>
                <w:rFonts w:ascii="TimesNewRomanPSMT" w:hAnsi="TimesNewRomanPSMT" w:cs="TimesNewRomanPSMT"/>
                <w:sz w:val="23"/>
                <w:szCs w:val="23"/>
              </w:rPr>
              <w:lastRenderedPageBreak/>
              <w:t>non vengono riconosciuti</w:t>
            </w:r>
          </w:p>
          <w:p w:rsidR="00003ED9" w:rsidRDefault="0075542E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ulteriori</w:t>
            </w:r>
            <w:r w:rsidR="00003ED9">
              <w:rPr>
                <w:rFonts w:ascii="TimesNewRomanPSMT" w:hAnsi="TimesNewRomanPSMT" w:cs="TimesNewRomanPSMT"/>
                <w:sz w:val="23"/>
                <w:szCs w:val="23"/>
              </w:rPr>
              <w:t xml:space="preserve"> eco-punti</w:t>
            </w:r>
          </w:p>
        </w:tc>
      </w:tr>
    </w:tbl>
    <w:p w:rsidR="00003ED9" w:rsidRDefault="00003ED9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003ED9" w:rsidRPr="007946E4" w:rsidRDefault="00003ED9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7946E4">
        <w:rPr>
          <w:rFonts w:ascii="TimesNewRomanPSMT" w:hAnsi="TimesNewRomanPSMT" w:cs="TimesNewRomanPSMT"/>
          <w:sz w:val="23"/>
          <w:szCs w:val="23"/>
        </w:rPr>
        <w:t>Scala di punteggio a cui corrispondono i bonus economici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2528"/>
        <w:gridCol w:w="2528"/>
        <w:gridCol w:w="2528"/>
        <w:gridCol w:w="2528"/>
      </w:tblGrid>
      <w:tr w:rsidR="00003ED9" w:rsidRPr="00003ED9" w:rsidTr="00003ED9">
        <w:tc>
          <w:tcPr>
            <w:tcW w:w="2528" w:type="dxa"/>
          </w:tcPr>
          <w:p w:rsidR="00003ED9" w:rsidRPr="00003ED9" w:rsidRDefault="00003ED9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5</w:t>
            </w:r>
          </w:p>
        </w:tc>
        <w:tc>
          <w:tcPr>
            <w:tcW w:w="2528" w:type="dxa"/>
          </w:tcPr>
          <w:p w:rsidR="00003ED9" w:rsidRPr="00003ED9" w:rsidRDefault="00003ED9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10</w:t>
            </w:r>
          </w:p>
        </w:tc>
        <w:tc>
          <w:tcPr>
            <w:tcW w:w="2528" w:type="dxa"/>
          </w:tcPr>
          <w:p w:rsidR="00003ED9" w:rsidRPr="00003ED9" w:rsidRDefault="00003ED9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15</w:t>
            </w:r>
          </w:p>
        </w:tc>
        <w:tc>
          <w:tcPr>
            <w:tcW w:w="2528" w:type="dxa"/>
          </w:tcPr>
          <w:p w:rsidR="00003ED9" w:rsidRPr="00003ED9" w:rsidRDefault="00003ED9" w:rsidP="0075542E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€ 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20</w:t>
            </w:r>
          </w:p>
        </w:tc>
      </w:tr>
      <w:tr w:rsidR="00003ED9" w:rsidRPr="00003ED9" w:rsidTr="00003ED9">
        <w:tc>
          <w:tcPr>
            <w:tcW w:w="2528" w:type="dxa"/>
          </w:tcPr>
          <w:p w:rsidR="00003ED9" w:rsidRPr="00003ED9" w:rsidRDefault="00003ED9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 xml:space="preserve">Fino a 2 litro </w:t>
            </w:r>
          </w:p>
        </w:tc>
        <w:tc>
          <w:tcPr>
            <w:tcW w:w="2528" w:type="dxa"/>
          </w:tcPr>
          <w:p w:rsidR="00003ED9" w:rsidRPr="00003ED9" w:rsidRDefault="00003ED9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da 2 a 5 litri</w:t>
            </w:r>
          </w:p>
        </w:tc>
        <w:tc>
          <w:tcPr>
            <w:tcW w:w="2528" w:type="dxa"/>
          </w:tcPr>
          <w:p w:rsidR="00003ED9" w:rsidRPr="00003ED9" w:rsidRDefault="00003ED9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Da 5 a 12 litri</w:t>
            </w:r>
          </w:p>
        </w:tc>
        <w:tc>
          <w:tcPr>
            <w:tcW w:w="2528" w:type="dxa"/>
          </w:tcPr>
          <w:p w:rsidR="00003ED9" w:rsidRPr="00003ED9" w:rsidRDefault="00003ED9" w:rsidP="007946E4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3"/>
                <w:szCs w:val="23"/>
              </w:rPr>
            </w:pPr>
            <w:r>
              <w:rPr>
                <w:rFonts w:ascii="TimesNewRomanPSMT" w:hAnsi="TimesNewRomanPSMT" w:cs="TimesNewRomanPSMT"/>
                <w:sz w:val="23"/>
                <w:szCs w:val="23"/>
              </w:rPr>
              <w:t>Da 12 a 20 litri</w:t>
            </w:r>
          </w:p>
        </w:tc>
      </w:tr>
    </w:tbl>
    <w:p w:rsidR="00003ED9" w:rsidRPr="007946E4" w:rsidRDefault="00003ED9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053F51" w:rsidRPr="00A91CE4" w:rsidRDefault="00053F51" w:rsidP="006C21A7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b/>
          <w:bCs/>
          <w:sz w:val="23"/>
          <w:szCs w:val="23"/>
        </w:rPr>
      </w:pPr>
      <w:r w:rsidRPr="00A91CE4">
        <w:rPr>
          <w:rFonts w:ascii="TimesNewRomanPS-BoldMT" w:hAnsi="TimesNewRomanPS-BoldMT" w:cs="TimesNewRomanPS-BoldMT"/>
          <w:b/>
          <w:bCs/>
          <w:sz w:val="23"/>
          <w:szCs w:val="23"/>
        </w:rPr>
        <w:t>Art. 1</w:t>
      </w:r>
      <w:r w:rsidR="00003ED9" w:rsidRPr="00A91CE4">
        <w:rPr>
          <w:rFonts w:ascii="TimesNewRomanPS-BoldMT" w:hAnsi="TimesNewRomanPS-BoldMT" w:cs="TimesNewRomanPS-BoldMT"/>
          <w:b/>
          <w:bCs/>
          <w:sz w:val="23"/>
          <w:szCs w:val="23"/>
        </w:rPr>
        <w:t>0</w:t>
      </w:r>
      <w:r w:rsidRPr="00A91CE4">
        <w:rPr>
          <w:rFonts w:ascii="TimesNewRomanPS-BoldMT" w:hAnsi="TimesNewRomanPS-BoldMT" w:cs="TimesNewRomanPS-BoldMT"/>
          <w:b/>
          <w:bCs/>
          <w:sz w:val="23"/>
          <w:szCs w:val="23"/>
        </w:rPr>
        <w:t xml:space="preserve"> </w:t>
      </w:r>
      <w:r w:rsidR="006C21A7" w:rsidRPr="00A91CE4">
        <w:rPr>
          <w:rFonts w:ascii="TimesNewRomanPS-BoldMT" w:hAnsi="TimesNewRomanPS-BoldMT" w:cs="TimesNewRomanPS-BoldMT"/>
          <w:b/>
          <w:bCs/>
          <w:sz w:val="23"/>
          <w:szCs w:val="23"/>
        </w:rPr>
        <w:tab/>
      </w:r>
      <w:r w:rsidRPr="00A91CE4">
        <w:rPr>
          <w:rFonts w:ascii="TimesNewRomanPS-BoldMT" w:hAnsi="TimesNewRomanPS-BoldMT" w:cs="TimesNewRomanPS-BoldMT"/>
          <w:b/>
          <w:bCs/>
          <w:sz w:val="23"/>
          <w:szCs w:val="23"/>
        </w:rPr>
        <w:t>Bonus jolly incentivante per il conferimento diretto di rifiuti ingombranti, beni durevoli e RAEE (tv, frigo, computer, lavatrici, mobili e simili, ecc.)</w:t>
      </w:r>
    </w:p>
    <w:p w:rsidR="008479E2" w:rsidRDefault="008479E2" w:rsidP="008479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8479E2" w:rsidRDefault="008479E2" w:rsidP="008479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Gli eco-punti sono attribuiti a coloro che conferiscono direttamente presso l’isola ecologica rifiuti ingombranti, beni durevoli e RAEE (tappi in plastica, metallici ecc.).</w:t>
      </w:r>
    </w:p>
    <w:p w:rsidR="008479E2" w:rsidRDefault="008479E2" w:rsidP="008479E2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Ai conferimenti non ordinari considerati “eccezionali” il cui quantitativo non rientra in quello di una produzione normale media, ma riveste appunto carattere di eccezionalità, verrà attribuito un eco-punteggio forfetario di </w:t>
      </w:r>
      <w:r>
        <w:rPr>
          <w:rFonts w:ascii="TimesNewRomanPS-BoldMT" w:hAnsi="TimesNewRomanPS-BoldMT" w:cs="TimesNewRomanPS-BoldMT"/>
          <w:b/>
          <w:bCs/>
          <w:sz w:val="23"/>
          <w:szCs w:val="23"/>
        </w:rPr>
        <w:t>1 eco-punto Jolly</w:t>
      </w:r>
      <w:r>
        <w:rPr>
          <w:rFonts w:ascii="TimesNewRomanPSMT" w:hAnsi="TimesNewRomanPSMT" w:cs="TimesNewRomanPSMT"/>
          <w:sz w:val="23"/>
          <w:szCs w:val="23"/>
        </w:rPr>
        <w:t>, oltre a registrarlo per statistica.</w:t>
      </w:r>
    </w:p>
    <w:p w:rsidR="008479E2" w:rsidRDefault="008479E2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</w:p>
    <w:p w:rsidR="00931CAC" w:rsidRDefault="008479E2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 xml:space="preserve">Agli </w:t>
      </w:r>
      <w:r w:rsidR="00053F51" w:rsidRPr="00A91CE4">
        <w:rPr>
          <w:rFonts w:ascii="TimesNewRomanPSMT" w:hAnsi="TimesNewRomanPSMT" w:cs="TimesNewRomanPSMT"/>
          <w:sz w:val="23"/>
          <w:szCs w:val="23"/>
        </w:rPr>
        <w:t>eco-punti Jolly</w:t>
      </w:r>
      <w:r>
        <w:rPr>
          <w:rFonts w:ascii="TimesNewRomanPSMT" w:hAnsi="TimesNewRomanPSMT" w:cs="TimesNewRomanPSMT"/>
          <w:sz w:val="23"/>
          <w:szCs w:val="23"/>
        </w:rPr>
        <w:t xml:space="preserve"> resta</w:t>
      </w:r>
      <w:r w:rsidR="00931CAC">
        <w:rPr>
          <w:rFonts w:ascii="TimesNewRomanPSMT" w:hAnsi="TimesNewRomanPSMT" w:cs="TimesNewRomanPSMT"/>
          <w:sz w:val="23"/>
          <w:szCs w:val="23"/>
        </w:rPr>
        <w:t xml:space="preserve"> assegnato il valore pari ad 1€. A</w:t>
      </w:r>
      <w:r w:rsidR="00053F51" w:rsidRPr="00A91CE4">
        <w:rPr>
          <w:rFonts w:ascii="TimesNewRomanPSMT" w:hAnsi="TimesNewRomanPSMT" w:cs="TimesNewRomanPSMT"/>
          <w:sz w:val="23"/>
          <w:szCs w:val="23"/>
        </w:rPr>
        <w:t xml:space="preserve">lla fine di ogni anno, a scelta dell’utenza, </w:t>
      </w:r>
      <w:r w:rsidR="00931CAC">
        <w:rPr>
          <w:rFonts w:ascii="TimesNewRomanPSMT" w:hAnsi="TimesNewRomanPSMT" w:cs="TimesNewRomanPSMT"/>
          <w:sz w:val="23"/>
          <w:szCs w:val="23"/>
        </w:rPr>
        <w:t xml:space="preserve">alternativamente al riconoscimento del valore economico, gli eco-punti jolly </w:t>
      </w:r>
      <w:r w:rsidR="00053F51" w:rsidRPr="00A91CE4">
        <w:rPr>
          <w:rFonts w:ascii="TimesNewRomanPSMT" w:hAnsi="TimesNewRomanPSMT" w:cs="TimesNewRomanPSMT"/>
          <w:sz w:val="23"/>
          <w:szCs w:val="23"/>
        </w:rPr>
        <w:t>possono essere cumulati anche</w:t>
      </w:r>
      <w:r w:rsidR="007946E4" w:rsidRPr="00A91CE4">
        <w:rPr>
          <w:rFonts w:ascii="TimesNewRomanPSMT" w:hAnsi="TimesNewRomanPSMT" w:cs="TimesNewRomanPSMT"/>
          <w:sz w:val="23"/>
          <w:szCs w:val="23"/>
        </w:rPr>
        <w:t xml:space="preserve"> </w:t>
      </w:r>
      <w:r w:rsidR="00053F51" w:rsidRPr="00A91CE4">
        <w:rPr>
          <w:rFonts w:ascii="TimesNewRomanPSMT" w:hAnsi="TimesNewRomanPSMT" w:cs="TimesNewRomanPSMT"/>
          <w:sz w:val="23"/>
          <w:szCs w:val="23"/>
        </w:rPr>
        <w:t>disgiuntamente in quota parte, su quelli accumulati per la carta-vetro-multmateriale, al fine di</w:t>
      </w:r>
      <w:r w:rsidR="007946E4" w:rsidRPr="00A91CE4">
        <w:rPr>
          <w:rFonts w:ascii="TimesNewRomanPSMT" w:hAnsi="TimesNewRomanPSMT" w:cs="TimesNewRomanPSMT"/>
          <w:sz w:val="23"/>
          <w:szCs w:val="23"/>
        </w:rPr>
        <w:t xml:space="preserve"> </w:t>
      </w:r>
      <w:r w:rsidR="00053F51" w:rsidRPr="00A91CE4">
        <w:rPr>
          <w:rFonts w:ascii="TimesNewRomanPSMT" w:hAnsi="TimesNewRomanPSMT" w:cs="TimesNewRomanPSMT"/>
          <w:sz w:val="23"/>
          <w:szCs w:val="23"/>
        </w:rPr>
        <w:t xml:space="preserve">raggiungere gli scaglioni superiori di maggiore contributo economico. </w:t>
      </w:r>
    </w:p>
    <w:p w:rsidR="00053F51" w:rsidRPr="00A91C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A91CE4">
        <w:rPr>
          <w:rFonts w:ascii="TimesNewRomanPSMT" w:hAnsi="TimesNewRomanPSMT" w:cs="TimesNewRomanPSMT"/>
          <w:sz w:val="23"/>
          <w:szCs w:val="23"/>
        </w:rPr>
        <w:t>Ad esempio se un utente ha</w:t>
      </w:r>
      <w:r w:rsidR="008479E2">
        <w:rPr>
          <w:rFonts w:ascii="TimesNewRomanPSMT" w:hAnsi="TimesNewRomanPSMT" w:cs="TimesNewRomanPSMT"/>
          <w:sz w:val="23"/>
          <w:szCs w:val="23"/>
        </w:rPr>
        <w:t xml:space="preserve"> </w:t>
      </w:r>
      <w:r w:rsidRPr="00A91CE4">
        <w:rPr>
          <w:rFonts w:ascii="TimesNewRomanPSMT" w:hAnsi="TimesNewRomanPSMT" w:cs="TimesNewRomanPSMT"/>
          <w:sz w:val="23"/>
          <w:szCs w:val="23"/>
        </w:rPr>
        <w:t>raggiunto il seguente punteggio:</w:t>
      </w:r>
    </w:p>
    <w:p w:rsidR="00053F51" w:rsidRPr="00A91C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A91CE4">
        <w:rPr>
          <w:rFonts w:ascii="TimesNewRomanPSMT" w:hAnsi="TimesNewRomanPSMT" w:cs="TimesNewRomanPSMT"/>
          <w:sz w:val="23"/>
          <w:szCs w:val="23"/>
        </w:rPr>
        <w:t>100 eco-punti vetro;</w:t>
      </w:r>
    </w:p>
    <w:p w:rsidR="00053F51" w:rsidRPr="00A91CE4" w:rsidRDefault="008479E2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>
        <w:rPr>
          <w:rFonts w:ascii="TimesNewRomanPSMT" w:hAnsi="TimesNewRomanPSMT" w:cs="TimesNewRomanPSMT"/>
          <w:sz w:val="23"/>
          <w:szCs w:val="23"/>
        </w:rPr>
        <w:t>2</w:t>
      </w:r>
      <w:r w:rsidR="00053F51" w:rsidRPr="00A91CE4">
        <w:rPr>
          <w:rFonts w:ascii="TimesNewRomanPSMT" w:hAnsi="TimesNewRomanPSMT" w:cs="TimesNewRomanPSMT"/>
          <w:sz w:val="23"/>
          <w:szCs w:val="23"/>
        </w:rPr>
        <w:t>00 eco-punti multi</w:t>
      </w:r>
    </w:p>
    <w:p w:rsidR="00053F51" w:rsidRPr="00A91C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A91CE4">
        <w:rPr>
          <w:rFonts w:ascii="TimesNewRomanPSMT" w:hAnsi="TimesNewRomanPSMT" w:cs="TimesNewRomanPSMT"/>
          <w:sz w:val="23"/>
          <w:szCs w:val="23"/>
        </w:rPr>
        <w:t>149 eco-punti carta;</w:t>
      </w:r>
    </w:p>
    <w:p w:rsidR="00053F51" w:rsidRPr="00A91C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A91CE4">
        <w:rPr>
          <w:rFonts w:ascii="TimesNewRomanPSMT" w:hAnsi="TimesNewRomanPSMT" w:cs="TimesNewRomanPSMT"/>
          <w:sz w:val="23"/>
          <w:szCs w:val="23"/>
        </w:rPr>
        <w:t>5 eco-punti jolly</w:t>
      </w:r>
    </w:p>
    <w:p w:rsidR="00053F51" w:rsidRPr="00A91C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A91CE4">
        <w:rPr>
          <w:rFonts w:ascii="TimesNewRomanPSMT" w:hAnsi="TimesNewRomanPSMT" w:cs="TimesNewRomanPSMT"/>
          <w:sz w:val="23"/>
          <w:szCs w:val="23"/>
        </w:rPr>
        <w:t>I 5 eco-punti jolly, l’utente li potrà cumulare nel seguente modo al fine di raggiungere lo scaglione</w:t>
      </w:r>
    </w:p>
    <w:p w:rsidR="00053F51" w:rsidRPr="00A91C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A91CE4">
        <w:rPr>
          <w:rFonts w:ascii="TimesNewRomanPSMT" w:hAnsi="TimesNewRomanPSMT" w:cs="TimesNewRomanPSMT"/>
          <w:sz w:val="23"/>
          <w:szCs w:val="23"/>
        </w:rPr>
        <w:t>superiore:</w:t>
      </w:r>
    </w:p>
    <w:p w:rsidR="00053F51" w:rsidRPr="00A91C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A91CE4">
        <w:rPr>
          <w:rFonts w:ascii="TimesNewRomanPSMT" w:hAnsi="TimesNewRomanPSMT" w:cs="TimesNewRomanPSMT"/>
          <w:sz w:val="23"/>
          <w:szCs w:val="23"/>
        </w:rPr>
        <w:t>1+100=101 eco-punti vetro;</w:t>
      </w:r>
    </w:p>
    <w:p w:rsidR="00053F51" w:rsidRPr="00A91C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MT" w:hAnsi="TimesNewRomanPSMT" w:cs="TimesNewRomanPSMT"/>
          <w:sz w:val="23"/>
          <w:szCs w:val="23"/>
        </w:rPr>
      </w:pPr>
      <w:r w:rsidRPr="00A91CE4">
        <w:rPr>
          <w:rFonts w:ascii="TimesNewRomanPSMT" w:hAnsi="TimesNewRomanPSMT" w:cs="TimesNewRomanPSMT"/>
          <w:sz w:val="23"/>
          <w:szCs w:val="23"/>
        </w:rPr>
        <w:t>2+199=201 eco-punti multi</w:t>
      </w:r>
    </w:p>
    <w:p w:rsidR="00053F51" w:rsidRPr="00A91CE4" w:rsidRDefault="00053F51" w:rsidP="007946E4">
      <w:pPr>
        <w:autoSpaceDE w:val="0"/>
        <w:autoSpaceDN w:val="0"/>
        <w:adjustRightInd w:val="0"/>
        <w:spacing w:after="0" w:line="240" w:lineRule="auto"/>
        <w:jc w:val="both"/>
        <w:rPr>
          <w:rFonts w:ascii="TimesNewRomanPS-BoldMT" w:hAnsi="TimesNewRomanPS-BoldMT" w:cs="TimesNewRomanPS-BoldMT"/>
          <w:sz w:val="20"/>
          <w:szCs w:val="20"/>
        </w:rPr>
      </w:pPr>
      <w:r w:rsidRPr="00A91CE4">
        <w:rPr>
          <w:rFonts w:ascii="TimesNewRomanPSMT" w:hAnsi="TimesNewRomanPSMT" w:cs="TimesNewRomanPSMT"/>
          <w:sz w:val="23"/>
          <w:szCs w:val="23"/>
        </w:rPr>
        <w:t>2+249=251 eco-punti carta.</w:t>
      </w:r>
    </w:p>
    <w:p w:rsidR="00A91CE4" w:rsidRPr="00A91CE4" w:rsidRDefault="00A91CE4" w:rsidP="00053F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3"/>
          <w:szCs w:val="23"/>
        </w:rPr>
      </w:pPr>
    </w:p>
    <w:p w:rsidR="00053F51" w:rsidRPr="00A91CE4" w:rsidRDefault="00053F51" w:rsidP="00053F51">
      <w:pPr>
        <w:autoSpaceDE w:val="0"/>
        <w:autoSpaceDN w:val="0"/>
        <w:adjustRightInd w:val="0"/>
        <w:spacing w:after="0" w:line="240" w:lineRule="auto"/>
        <w:rPr>
          <w:rFonts w:ascii="TimesNewRomanPSMT" w:hAnsi="TimesNewRomanPSMT" w:cs="TimesNewRomanPSMT"/>
          <w:sz w:val="20"/>
          <w:szCs w:val="20"/>
        </w:rPr>
      </w:pPr>
      <w:r w:rsidRPr="00A91CE4">
        <w:rPr>
          <w:rFonts w:ascii="TimesNewRomanPSMT" w:hAnsi="TimesNewRomanPSMT" w:cs="TimesNewRomanPSMT"/>
          <w:sz w:val="23"/>
          <w:szCs w:val="23"/>
        </w:rPr>
        <w:t>Tabella eco-punti ingombranti jolly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3370"/>
        <w:gridCol w:w="3371"/>
        <w:gridCol w:w="3371"/>
      </w:tblGrid>
      <w:tr w:rsidR="00A91CE4" w:rsidRPr="00A91CE4" w:rsidTr="00053F51">
        <w:tc>
          <w:tcPr>
            <w:tcW w:w="3370" w:type="dxa"/>
          </w:tcPr>
          <w:p w:rsidR="00053F51" w:rsidRPr="00A91CE4" w:rsidRDefault="00053F51"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Punti</w:t>
            </w:r>
          </w:p>
        </w:tc>
        <w:tc>
          <w:tcPr>
            <w:tcW w:w="3371" w:type="dxa"/>
          </w:tcPr>
          <w:p w:rsidR="00053F51" w:rsidRPr="00A91CE4" w:rsidRDefault="00053F51"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Quantità di calcolo eco-punti</w:t>
            </w:r>
          </w:p>
        </w:tc>
        <w:tc>
          <w:tcPr>
            <w:tcW w:w="3371" w:type="dxa"/>
          </w:tcPr>
          <w:p w:rsidR="00053F51" w:rsidRPr="00A91CE4" w:rsidRDefault="00053F51" w:rsidP="00053F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Quantità max</w:t>
            </w:r>
          </w:p>
          <w:p w:rsidR="00053F51" w:rsidRPr="00A91CE4" w:rsidRDefault="00053F51"/>
        </w:tc>
      </w:tr>
      <w:tr w:rsidR="00A91CE4" w:rsidRPr="00A91CE4" w:rsidTr="00053F51">
        <w:tc>
          <w:tcPr>
            <w:tcW w:w="3370" w:type="dxa"/>
          </w:tcPr>
          <w:p w:rsidR="00053F51" w:rsidRPr="00A91CE4" w:rsidRDefault="00053F51" w:rsidP="0075542E"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2 eco-punt</w:t>
            </w:r>
            <w:r w:rsidR="0075542E">
              <w:rPr>
                <w:rFonts w:ascii="TimesNewRomanPSMT" w:hAnsi="TimesNewRomanPSMT" w:cs="TimesNewRomanPSMT"/>
                <w:sz w:val="23"/>
                <w:szCs w:val="23"/>
              </w:rPr>
              <w:t>i</w:t>
            </w: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 xml:space="preserve"> jolly</w:t>
            </w:r>
          </w:p>
        </w:tc>
        <w:tc>
          <w:tcPr>
            <w:tcW w:w="3371" w:type="dxa"/>
          </w:tcPr>
          <w:p w:rsidR="00053F51" w:rsidRPr="008479E2" w:rsidRDefault="00053F51" w:rsidP="008479E2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Per ogni TV, computer, monitor,</w:t>
            </w:r>
            <w:r w:rsidR="008479E2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frigo, lavatrice, scaldabagno</w:t>
            </w:r>
          </w:p>
        </w:tc>
        <w:tc>
          <w:tcPr>
            <w:tcW w:w="3371" w:type="dxa"/>
          </w:tcPr>
          <w:p w:rsidR="00053F51" w:rsidRPr="00A91CE4" w:rsidRDefault="00053F51" w:rsidP="00053F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3 pezzi l’anno per famiglia solo ai fini</w:t>
            </w:r>
            <w:r w:rsidR="008479E2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dell’attribuzione degli eco-punti</w:t>
            </w:r>
          </w:p>
          <w:p w:rsidR="00053F51" w:rsidRPr="00A91CE4" w:rsidRDefault="00053F51"/>
        </w:tc>
      </w:tr>
      <w:tr w:rsidR="00A91CE4" w:rsidRPr="00A91CE4" w:rsidTr="00053F51">
        <w:tc>
          <w:tcPr>
            <w:tcW w:w="3370" w:type="dxa"/>
          </w:tcPr>
          <w:p w:rsidR="00053F51" w:rsidRPr="00A91CE4" w:rsidRDefault="00053F51"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1 eco-punto jolly</w:t>
            </w:r>
          </w:p>
        </w:tc>
        <w:tc>
          <w:tcPr>
            <w:tcW w:w="3371" w:type="dxa"/>
          </w:tcPr>
          <w:p w:rsidR="00053F51" w:rsidRPr="00A91CE4" w:rsidRDefault="00053F51" w:rsidP="00053F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Per ogni mobile di arredo (sedia,</w:t>
            </w:r>
            <w:r w:rsidR="008479E2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tavolo, divano,</w:t>
            </w:r>
            <w:r w:rsidR="008479E2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poltrona, ecc.)</w:t>
            </w:r>
          </w:p>
          <w:p w:rsidR="00053F51" w:rsidRPr="00A91CE4" w:rsidRDefault="00053F51"/>
        </w:tc>
        <w:tc>
          <w:tcPr>
            <w:tcW w:w="3371" w:type="dxa"/>
          </w:tcPr>
          <w:p w:rsidR="00053F51" w:rsidRPr="008479E2" w:rsidRDefault="00053F51" w:rsidP="00053F51">
            <w:pPr>
              <w:autoSpaceDE w:val="0"/>
              <w:autoSpaceDN w:val="0"/>
              <w:adjustRightInd w:val="0"/>
              <w:rPr>
                <w:rFonts w:ascii="TimesNewRomanPSMT" w:hAnsi="TimesNewRomanPSMT" w:cs="TimesNewRomanPSMT"/>
                <w:sz w:val="23"/>
                <w:szCs w:val="23"/>
              </w:rPr>
            </w:pP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5 pezzi l’anno per famiglia solo ai fini</w:t>
            </w:r>
            <w:r w:rsidR="008479E2">
              <w:rPr>
                <w:rFonts w:ascii="TimesNewRomanPSMT" w:hAnsi="TimesNewRomanPSMT" w:cs="TimesNewRomanPSMT"/>
                <w:sz w:val="23"/>
                <w:szCs w:val="23"/>
              </w:rPr>
              <w:t xml:space="preserve"> </w:t>
            </w:r>
            <w:r w:rsidRPr="00A91CE4">
              <w:rPr>
                <w:rFonts w:ascii="TimesNewRomanPSMT" w:hAnsi="TimesNewRomanPSMT" w:cs="TimesNewRomanPSMT"/>
                <w:sz w:val="23"/>
                <w:szCs w:val="23"/>
              </w:rPr>
              <w:t>dell’attribuzione degli eco-punti</w:t>
            </w:r>
          </w:p>
          <w:p w:rsidR="00053F51" w:rsidRPr="00A91CE4" w:rsidRDefault="00053F51"/>
        </w:tc>
      </w:tr>
    </w:tbl>
    <w:p w:rsidR="00053F51" w:rsidRDefault="00053F51"/>
    <w:sectPr w:rsidR="00053F51" w:rsidSect="0022300D">
      <w:pgSz w:w="12240" w:h="15840"/>
      <w:pgMar w:top="1417" w:right="1134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NewRomanPS-Bold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NewRomanPS-ItalicM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273"/>
    <w:rsid w:val="00003ED9"/>
    <w:rsid w:val="00053F51"/>
    <w:rsid w:val="0010537F"/>
    <w:rsid w:val="00323196"/>
    <w:rsid w:val="00327CFD"/>
    <w:rsid w:val="0036343D"/>
    <w:rsid w:val="00540E44"/>
    <w:rsid w:val="006C21A7"/>
    <w:rsid w:val="0071683D"/>
    <w:rsid w:val="0075542E"/>
    <w:rsid w:val="00763720"/>
    <w:rsid w:val="00773153"/>
    <w:rsid w:val="007946E4"/>
    <w:rsid w:val="007E1B5A"/>
    <w:rsid w:val="008479E2"/>
    <w:rsid w:val="008931D9"/>
    <w:rsid w:val="00931CAC"/>
    <w:rsid w:val="00A91CE4"/>
    <w:rsid w:val="00D65806"/>
    <w:rsid w:val="00FF62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540E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1529</Words>
  <Characters>8720</Characters>
  <Application>Microsoft Office Word</Application>
  <DocSecurity>0</DocSecurity>
  <Lines>72</Lines>
  <Paragraphs>20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Lucio</dc:creator>
  <cp:lastModifiedBy>Utente</cp:lastModifiedBy>
  <cp:revision>2</cp:revision>
  <dcterms:created xsi:type="dcterms:W3CDTF">2014-12-20T10:06:00Z</dcterms:created>
  <dcterms:modified xsi:type="dcterms:W3CDTF">2014-12-20T10:06:00Z</dcterms:modified>
</cp:coreProperties>
</file>